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C1" w:rsidRDefault="003465C1" w:rsidP="00F83484">
      <w:pPr>
        <w:tabs>
          <w:tab w:val="left" w:pos="7572"/>
        </w:tabs>
        <w:jc w:val="center"/>
        <w:rPr>
          <w:rFonts w:asciiTheme="majorHAnsi" w:hAnsiTheme="majorHAnsi"/>
          <w:b/>
          <w:sz w:val="60"/>
          <w:szCs w:val="60"/>
          <w:lang w:val="pl-PL"/>
        </w:rPr>
      </w:pPr>
      <w:bookmarkStart w:id="0" w:name="_GoBack"/>
    </w:p>
    <w:bookmarkEnd w:id="0"/>
    <w:p w:rsidR="00F83484" w:rsidRPr="00F730BC" w:rsidRDefault="00F83484" w:rsidP="00F83484">
      <w:pPr>
        <w:tabs>
          <w:tab w:val="left" w:pos="7572"/>
        </w:tabs>
        <w:jc w:val="center"/>
        <w:rPr>
          <w:rFonts w:asciiTheme="majorHAnsi" w:hAnsiTheme="majorHAnsi"/>
          <w:b/>
          <w:sz w:val="60"/>
          <w:szCs w:val="60"/>
          <w:lang w:val="pl-PL"/>
        </w:rPr>
      </w:pPr>
      <w:r w:rsidRPr="00F730BC">
        <w:rPr>
          <w:rFonts w:asciiTheme="majorHAnsi" w:hAnsiTheme="majorHAnsi"/>
          <w:b/>
          <w:sz w:val="60"/>
          <w:szCs w:val="60"/>
          <w:lang w:val="pl-PL"/>
        </w:rPr>
        <w:t>FORUM TRZECH SEKTORÓW</w:t>
      </w:r>
    </w:p>
    <w:p w:rsidR="00F83484" w:rsidRPr="00F730BC" w:rsidRDefault="00F83484" w:rsidP="00F83484">
      <w:pPr>
        <w:tabs>
          <w:tab w:val="left" w:pos="7572"/>
        </w:tabs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center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PLATFORMA ZAANGAŻOWANIA SPOŁECZNEGO </w:t>
      </w:r>
      <w:r w:rsidRPr="00F730BC">
        <w:rPr>
          <w:rFonts w:ascii="MingLiU" w:eastAsia="MingLiU" w:hAnsi="MingLiU" w:cs="MingLiU"/>
          <w:lang w:val="pl-PL"/>
        </w:rPr>
        <w:br/>
      </w:r>
      <w:r>
        <w:rPr>
          <w:rFonts w:asciiTheme="majorHAnsi" w:hAnsiTheme="majorHAnsi"/>
          <w:lang w:val="pl-PL"/>
        </w:rPr>
        <w:t>WŁADZY</w:t>
      </w:r>
      <w:r w:rsidRPr="00F730BC">
        <w:rPr>
          <w:rFonts w:asciiTheme="majorHAnsi" w:hAnsiTheme="majorHAnsi"/>
          <w:lang w:val="pl-PL"/>
        </w:rPr>
        <w:t>, BIZNESU ORAZ ORGANIZACJI POZARZĄDOWYCH</w:t>
      </w:r>
    </w:p>
    <w:p w:rsidR="00F83484" w:rsidRDefault="00F83484" w:rsidP="00F83484">
      <w:pPr>
        <w:tabs>
          <w:tab w:val="left" w:pos="7572"/>
        </w:tabs>
        <w:jc w:val="center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center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Niezależnie od tego, jaki ciąg dalszy będzie miała historia </w:t>
      </w:r>
      <w:proofErr w:type="spellStart"/>
      <w:r w:rsidRPr="00F730BC">
        <w:rPr>
          <w:rFonts w:asciiTheme="majorHAnsi" w:hAnsiTheme="majorHAnsi"/>
          <w:lang w:val="pl-PL"/>
        </w:rPr>
        <w:t>Brexitu</w:t>
      </w:r>
      <w:proofErr w:type="spellEnd"/>
      <w:r w:rsidRPr="00F730BC">
        <w:rPr>
          <w:rFonts w:asciiTheme="majorHAnsi" w:hAnsiTheme="majorHAnsi"/>
          <w:lang w:val="pl-PL"/>
        </w:rPr>
        <w:t xml:space="preserve">, jedno jest pewne: przeżywamy gigantyczny, paneuropejski kryzys zaufania do zasad budowania </w:t>
      </w:r>
      <w:r>
        <w:rPr>
          <w:rFonts w:asciiTheme="majorHAnsi" w:hAnsiTheme="majorHAnsi"/>
          <w:lang w:val="pl-PL"/>
        </w:rPr>
        <w:t>wspólnoty jako takiej</w:t>
      </w:r>
      <w:r w:rsidRPr="00F730BC">
        <w:rPr>
          <w:rFonts w:asciiTheme="majorHAnsi" w:hAnsiTheme="majorHAnsi"/>
          <w:lang w:val="pl-PL"/>
        </w:rPr>
        <w:t xml:space="preserve">. Na różnych poziomach społecznych relacji walczymy o kapitał społeczny kluczowych przedsięwzięć, a tymczasem właśnie przykład Wielkiej Brytanii pokazuje, że największym zagrożeniem jest zjawisko, które już w tym momencie śmiało możemy nazwać </w:t>
      </w:r>
      <w:r>
        <w:rPr>
          <w:rFonts w:asciiTheme="majorHAnsi" w:hAnsiTheme="majorHAnsi"/>
          <w:lang w:val="pl-PL"/>
        </w:rPr>
        <w:t>narastaniem</w:t>
      </w:r>
      <w:r w:rsidRPr="00F730BC">
        <w:rPr>
          <w:rFonts w:asciiTheme="majorHAnsi" w:hAnsiTheme="majorHAnsi"/>
          <w:lang w:val="pl-PL"/>
        </w:rPr>
        <w:t xml:space="preserve"> </w:t>
      </w:r>
      <w:proofErr w:type="spellStart"/>
      <w:r w:rsidRPr="00F730BC">
        <w:rPr>
          <w:rFonts w:asciiTheme="majorHAnsi" w:hAnsiTheme="majorHAnsi"/>
          <w:lang w:val="pl-PL"/>
        </w:rPr>
        <w:t>antykapitału</w:t>
      </w:r>
      <w:proofErr w:type="spellEnd"/>
      <w:r w:rsidRPr="00F730BC">
        <w:rPr>
          <w:rFonts w:asciiTheme="majorHAnsi" w:hAnsiTheme="majorHAnsi"/>
          <w:lang w:val="pl-PL"/>
        </w:rPr>
        <w:t xml:space="preserve"> społecznego. Miliony ludzi są w stanie powiedzieć stanowcze NIE temu, co konstruowało dotąd Europę. Te miliony nie chcą iść na jakikolwiek kompromis, nie analizują także konsekwencji swoich decyzji, ponieważ nie czują się za nie odpowiedzialne. T</w:t>
      </w:r>
      <w:r>
        <w:rPr>
          <w:rFonts w:asciiTheme="majorHAnsi" w:hAnsiTheme="majorHAnsi"/>
          <w:lang w:val="pl-PL"/>
        </w:rPr>
        <w:t>ę</w:t>
      </w:r>
      <w:r w:rsidRPr="00F730BC">
        <w:rPr>
          <w:rFonts w:asciiTheme="majorHAnsi" w:hAnsiTheme="majorHAnsi"/>
          <w:lang w:val="pl-PL"/>
        </w:rPr>
        <w:t xml:space="preserve"> odpowiedzialność zrzucają na instytucje władzy</w:t>
      </w:r>
      <w:r>
        <w:rPr>
          <w:rFonts w:asciiTheme="majorHAnsi" w:hAnsiTheme="majorHAnsi"/>
          <w:lang w:val="pl-PL"/>
        </w:rPr>
        <w:t>.</w:t>
      </w:r>
      <w:r w:rsidRPr="00F730BC">
        <w:rPr>
          <w:rFonts w:asciiTheme="majorHAnsi" w:hAnsiTheme="majorHAnsi"/>
          <w:lang w:val="pl-PL"/>
        </w:rPr>
        <w:t xml:space="preserve"> </w:t>
      </w:r>
      <w:r>
        <w:rPr>
          <w:rFonts w:asciiTheme="majorHAnsi" w:hAnsiTheme="majorHAnsi"/>
          <w:lang w:val="pl-PL"/>
        </w:rPr>
        <w:t>T</w:t>
      </w:r>
      <w:r w:rsidRPr="00F730BC">
        <w:rPr>
          <w:rFonts w:asciiTheme="majorHAnsi" w:hAnsiTheme="majorHAnsi"/>
          <w:lang w:val="pl-PL"/>
        </w:rPr>
        <w:t>ak jakby wymierzały im karę za zawiedzione nadzieje.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Nie bagatelizujmy groźnego, w społecznych konsekwencjach, zjawiska</w:t>
      </w:r>
      <w:r w:rsidRPr="00F730BC">
        <w:rPr>
          <w:rFonts w:asciiTheme="majorHAnsi" w:hAnsiTheme="majorHAnsi"/>
          <w:lang w:val="pl-PL"/>
        </w:rPr>
        <w:t xml:space="preserve">: zanika zaufanie, </w:t>
      </w:r>
      <w:r>
        <w:rPr>
          <w:rFonts w:asciiTheme="majorHAnsi" w:hAnsiTheme="majorHAnsi"/>
          <w:lang w:val="pl-PL"/>
        </w:rPr>
        <w:t>słabnie</w:t>
      </w:r>
      <w:r w:rsidRPr="00F730BC">
        <w:rPr>
          <w:rFonts w:asciiTheme="majorHAnsi" w:hAnsiTheme="majorHAnsi"/>
          <w:lang w:val="pl-PL"/>
        </w:rPr>
        <w:t xml:space="preserve"> siła wspólnoty, pojawiają się roszczenia, które są znamiennym dowodem</w:t>
      </w:r>
      <w:r>
        <w:rPr>
          <w:rFonts w:asciiTheme="majorHAnsi" w:hAnsiTheme="majorHAnsi"/>
          <w:lang w:val="pl-PL"/>
        </w:rPr>
        <w:t xml:space="preserve"> tego</w:t>
      </w:r>
      <w:r w:rsidRPr="00F730BC">
        <w:rPr>
          <w:rFonts w:asciiTheme="majorHAnsi" w:hAnsiTheme="majorHAnsi"/>
          <w:lang w:val="pl-PL"/>
        </w:rPr>
        <w:t>, że ludzie mogą nagle odwrócić się od swoich „przedstawicieli”,</w:t>
      </w:r>
      <w:r>
        <w:rPr>
          <w:rFonts w:asciiTheme="majorHAnsi" w:hAnsiTheme="majorHAnsi"/>
          <w:lang w:val="pl-PL"/>
        </w:rPr>
        <w:t xml:space="preserve"> czyli</w:t>
      </w:r>
      <w:r w:rsidRPr="00F730BC">
        <w:rPr>
          <w:rFonts w:asciiTheme="majorHAnsi" w:hAnsiTheme="majorHAnsi"/>
          <w:lang w:val="pl-PL"/>
        </w:rPr>
        <w:t xml:space="preserve"> tych, z którymi chcieli dotąd utożsamiać się w sferze ideowej. To tworzy bardzo trudne warunki dla wszelkich inicjatyw społecznych – od dialogu władza lokalna – mieszkańcy, przez CSR, CCI, marketing społecznie zaangażowany, po kwestię społecznego mandatu, którym dysponują polskie organizacje pozarządowe. Skoro wszyscy widzimy, że „ryba psuje się od głowy”, to </w:t>
      </w:r>
      <w:r>
        <w:rPr>
          <w:rFonts w:asciiTheme="majorHAnsi" w:hAnsiTheme="majorHAnsi"/>
          <w:lang w:val="pl-PL"/>
        </w:rPr>
        <w:t xml:space="preserve">nie pozostaje nam nic innego, jak </w:t>
      </w:r>
      <w:r w:rsidRPr="00F730BC">
        <w:rPr>
          <w:rFonts w:asciiTheme="majorHAnsi" w:hAnsiTheme="majorHAnsi"/>
          <w:lang w:val="pl-PL"/>
        </w:rPr>
        <w:t>zacz</w:t>
      </w:r>
      <w:r>
        <w:rPr>
          <w:rFonts w:asciiTheme="majorHAnsi" w:hAnsiTheme="majorHAnsi"/>
          <w:lang w:val="pl-PL"/>
        </w:rPr>
        <w:t>ąć</w:t>
      </w:r>
      <w:r w:rsidRPr="00F730BC">
        <w:rPr>
          <w:rFonts w:asciiTheme="majorHAnsi" w:hAnsiTheme="majorHAnsi"/>
          <w:lang w:val="pl-PL"/>
        </w:rPr>
        <w:t xml:space="preserve"> </w:t>
      </w:r>
      <w:r>
        <w:rPr>
          <w:rFonts w:asciiTheme="majorHAnsi" w:hAnsiTheme="majorHAnsi"/>
          <w:lang w:val="pl-PL"/>
        </w:rPr>
        <w:t>naprawiać ją</w:t>
      </w:r>
      <w:r w:rsidRPr="00F730BC">
        <w:rPr>
          <w:rFonts w:asciiTheme="majorHAnsi" w:hAnsiTheme="majorHAnsi"/>
          <w:lang w:val="pl-PL"/>
        </w:rPr>
        <w:t xml:space="preserve"> od ogona. Chodzi o pracę na poziomie realnych społeczności, czyli tam gdzie rodzi się skala wartości: moje-nasze-wspólne. 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Forum Trzech Sektorów debiutuje w tym roku, ale właśnie na starcie bierze na siebie niezwykle ważną rolę: platformy, dzięki której zaczniemy odbudowywać zaufanie obywateli. Obywateli – wyborców, obywateli – konsumentów, wreszcie obywateli – darczyńców, wolontariuszy, podmiotów aktywności społecznej i depozytariuszy idei dobra wspólnego. Jak to zrobić w świecie gnających do przodu nowych technologii, „odhumanizowanych” korporacji, „bezwzględnych” mediów, niestabilnej, prawdopodobnie również finansowo, Unii Europejskiej? Oto wyzwania dla Forum Trzech Sektorów, z którego wyjść musimy silniejsi i mądrzejsi. </w:t>
      </w:r>
      <w:r>
        <w:rPr>
          <w:rFonts w:asciiTheme="majorHAnsi" w:hAnsiTheme="majorHAnsi"/>
          <w:lang w:val="pl-PL"/>
        </w:rPr>
        <w:t xml:space="preserve">Pięć paneli poruszających kluczowe dla środowiska Trzech Sektorów zagadnienia! W każdym panelu szczególni goście: eksperci samorządowi, biznesowi i pozarządowi! </w:t>
      </w:r>
    </w:p>
    <w:p w:rsidR="00F83484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  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Poniedziałek, 26 września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19:30-1:00 –Gala VII Kongresu Regionów</w:t>
      </w:r>
      <w:r>
        <w:rPr>
          <w:rFonts w:asciiTheme="majorHAnsi" w:hAnsiTheme="majorHAnsi"/>
          <w:lang w:val="pl-PL"/>
        </w:rPr>
        <w:t xml:space="preserve">: </w:t>
      </w:r>
      <w:r w:rsidRPr="00F730BC">
        <w:rPr>
          <w:rFonts w:asciiTheme="majorHAnsi" w:hAnsiTheme="majorHAnsi"/>
          <w:lang w:val="pl-PL"/>
        </w:rPr>
        <w:t xml:space="preserve">uczestnicy Forum są zaproszeni na to wydarzenie. 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Wtorek, 27 września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9:30-10:00 – rejestracja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lastRenderedPageBreak/>
        <w:t xml:space="preserve">10:00-11:00 – </w:t>
      </w:r>
      <w:r w:rsidRPr="00F730BC">
        <w:rPr>
          <w:rFonts w:asciiTheme="majorHAnsi" w:hAnsiTheme="majorHAnsi"/>
          <w:u w:val="single"/>
          <w:lang w:val="pl-PL"/>
        </w:rPr>
        <w:t xml:space="preserve">Od „Lubię to” do „Ufam temu”: czy w świecie cyfrowym działania społeczne mają szansę na większy kapitał zaufania? </w:t>
      </w:r>
    </w:p>
    <w:p w:rsidR="00F83484" w:rsidRPr="00F730BC" w:rsidRDefault="00F83484" w:rsidP="00F83484">
      <w:pPr>
        <w:pStyle w:val="Akapitzlist"/>
        <w:numPr>
          <w:ilvl w:val="0"/>
          <w:numId w:val="1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Czy w sieci możliwe jest budowanie trwałych więzi kształtujących kapitał społeczny?</w:t>
      </w:r>
    </w:p>
    <w:p w:rsidR="00F83484" w:rsidRPr="00F730BC" w:rsidRDefault="00F83484" w:rsidP="00F83484">
      <w:pPr>
        <w:pStyle w:val="Akapitzlist"/>
        <w:numPr>
          <w:ilvl w:val="0"/>
          <w:numId w:val="1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Co zrobić, by kliknięcie „Lubię to” nie było pustym gestem?</w:t>
      </w:r>
    </w:p>
    <w:p w:rsidR="00F83484" w:rsidRPr="00F730BC" w:rsidRDefault="00F83484" w:rsidP="00F83484">
      <w:pPr>
        <w:pStyle w:val="Akapitzlist"/>
        <w:numPr>
          <w:ilvl w:val="0"/>
          <w:numId w:val="1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Akcje społecznościowe, </w:t>
      </w:r>
      <w:proofErr w:type="spellStart"/>
      <w:r w:rsidRPr="00F730BC">
        <w:rPr>
          <w:rFonts w:asciiTheme="majorHAnsi" w:hAnsiTheme="majorHAnsi"/>
          <w:lang w:val="pl-PL"/>
        </w:rPr>
        <w:t>crowdsourcing</w:t>
      </w:r>
      <w:proofErr w:type="spellEnd"/>
      <w:r w:rsidRPr="00F730BC">
        <w:rPr>
          <w:rFonts w:asciiTheme="majorHAnsi" w:hAnsiTheme="majorHAnsi"/>
          <w:lang w:val="pl-PL"/>
        </w:rPr>
        <w:t xml:space="preserve">, crowdfunding – czy Call To Action wiąże się jeszcze z Call To </w:t>
      </w:r>
      <w:proofErr w:type="spellStart"/>
      <w:r w:rsidRPr="00F730BC">
        <w:rPr>
          <w:rFonts w:asciiTheme="majorHAnsi" w:hAnsiTheme="majorHAnsi"/>
          <w:lang w:val="pl-PL"/>
        </w:rPr>
        <w:t>C</w:t>
      </w:r>
      <w:r>
        <w:rPr>
          <w:rFonts w:asciiTheme="majorHAnsi" w:hAnsiTheme="majorHAnsi"/>
          <w:lang w:val="pl-PL"/>
        </w:rPr>
        <w:t>ommit</w:t>
      </w:r>
      <w:r w:rsidRPr="00F730BC">
        <w:rPr>
          <w:rFonts w:asciiTheme="majorHAnsi" w:hAnsiTheme="majorHAnsi"/>
          <w:lang w:val="pl-PL"/>
        </w:rPr>
        <w:t>ment</w:t>
      </w:r>
      <w:proofErr w:type="spellEnd"/>
      <w:r w:rsidRPr="00F730BC">
        <w:rPr>
          <w:rFonts w:asciiTheme="majorHAnsi" w:hAnsiTheme="majorHAnsi"/>
          <w:lang w:val="pl-PL"/>
        </w:rPr>
        <w:t>?</w:t>
      </w:r>
    </w:p>
    <w:p w:rsidR="00F83484" w:rsidRPr="00F730BC" w:rsidRDefault="00F83484" w:rsidP="00F83484">
      <w:pPr>
        <w:pStyle w:val="Akapitzlist"/>
        <w:numPr>
          <w:ilvl w:val="0"/>
          <w:numId w:val="1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Czy redukcja wykluczenia cyfrowego </w:t>
      </w:r>
      <w:r>
        <w:rPr>
          <w:rFonts w:asciiTheme="majorHAnsi" w:hAnsiTheme="majorHAnsi"/>
          <w:lang w:val="pl-PL"/>
        </w:rPr>
        <w:t>to</w:t>
      </w:r>
      <w:r w:rsidRPr="00F730BC">
        <w:rPr>
          <w:rFonts w:asciiTheme="majorHAnsi" w:hAnsiTheme="majorHAnsi"/>
          <w:lang w:val="pl-PL"/>
        </w:rPr>
        <w:t xml:space="preserve"> </w:t>
      </w:r>
      <w:r>
        <w:rPr>
          <w:rFonts w:asciiTheme="majorHAnsi" w:hAnsiTheme="majorHAnsi"/>
          <w:lang w:val="pl-PL"/>
        </w:rPr>
        <w:t>sposób</w:t>
      </w:r>
      <w:r w:rsidRPr="00F730BC">
        <w:rPr>
          <w:rFonts w:asciiTheme="majorHAnsi" w:hAnsiTheme="majorHAnsi"/>
          <w:lang w:val="pl-PL"/>
        </w:rPr>
        <w:t xml:space="preserve"> na </w:t>
      </w:r>
      <w:r>
        <w:rPr>
          <w:rFonts w:asciiTheme="majorHAnsi" w:hAnsiTheme="majorHAnsi"/>
          <w:lang w:val="pl-PL"/>
        </w:rPr>
        <w:t>bardziej efektywny</w:t>
      </w:r>
      <w:r w:rsidRPr="00F730BC">
        <w:rPr>
          <w:rFonts w:asciiTheme="majorHAnsi" w:hAnsiTheme="majorHAnsi"/>
          <w:lang w:val="pl-PL"/>
        </w:rPr>
        <w:t xml:space="preserve"> dialog społeczny?   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11:00-11:15 – przerwa kawowa.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11:15-12:45 – </w:t>
      </w:r>
      <w:r w:rsidRPr="00F730BC">
        <w:rPr>
          <w:rFonts w:asciiTheme="majorHAnsi" w:hAnsiTheme="majorHAnsi"/>
          <w:u w:val="single"/>
          <w:lang w:val="pl-PL"/>
        </w:rPr>
        <w:t>Komu jesteśmy potrzebni: czy potrafimy przetrwać bez pieniędzy unijnych?</w:t>
      </w:r>
      <w:r w:rsidRPr="00F730BC">
        <w:rPr>
          <w:rFonts w:asciiTheme="majorHAnsi" w:hAnsiTheme="majorHAnsi"/>
          <w:lang w:val="pl-PL"/>
        </w:rPr>
        <w:t xml:space="preserve"> </w:t>
      </w:r>
    </w:p>
    <w:p w:rsidR="00F83484" w:rsidRPr="00F730BC" w:rsidRDefault="00F83484" w:rsidP="00F83484">
      <w:pPr>
        <w:pStyle w:val="Akapitzlist"/>
        <w:numPr>
          <w:ilvl w:val="0"/>
          <w:numId w:val="2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Czemu w Polsce utarło się, że organizacja tworzona oddolnie powinna żyć z funduszy przyznawanych odgórnie?</w:t>
      </w:r>
    </w:p>
    <w:p w:rsidR="00F83484" w:rsidRPr="00F730BC" w:rsidRDefault="00F83484" w:rsidP="00F83484">
      <w:pPr>
        <w:pStyle w:val="Akapitzlist"/>
        <w:numPr>
          <w:ilvl w:val="0"/>
          <w:numId w:val="2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Biznes, samorząd, a może jednak społeczność lokalna: kto ma szansę i kto powinien stać się nowym zapleczem dla organizacji społecznych?</w:t>
      </w:r>
    </w:p>
    <w:p w:rsidR="00F83484" w:rsidRPr="00F730BC" w:rsidRDefault="00F83484" w:rsidP="00F83484">
      <w:pPr>
        <w:pStyle w:val="Akapitzlist"/>
        <w:numPr>
          <w:ilvl w:val="0"/>
          <w:numId w:val="2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Jak widzą misję organizacji pozarządowych ci, którzy </w:t>
      </w:r>
      <w:r>
        <w:rPr>
          <w:rFonts w:asciiTheme="majorHAnsi" w:hAnsiTheme="majorHAnsi"/>
          <w:lang w:val="pl-PL"/>
        </w:rPr>
        <w:t>są w stanie</w:t>
      </w:r>
      <w:r w:rsidRPr="00F730BC">
        <w:rPr>
          <w:rFonts w:asciiTheme="majorHAnsi" w:hAnsiTheme="majorHAnsi"/>
          <w:lang w:val="pl-PL"/>
        </w:rPr>
        <w:t xml:space="preserve"> </w:t>
      </w:r>
      <w:r>
        <w:rPr>
          <w:rFonts w:asciiTheme="majorHAnsi" w:hAnsiTheme="majorHAnsi"/>
          <w:lang w:val="pl-PL"/>
        </w:rPr>
        <w:t>finansować</w:t>
      </w:r>
      <w:r w:rsidRPr="00F730BC">
        <w:rPr>
          <w:rFonts w:asciiTheme="majorHAnsi" w:hAnsiTheme="majorHAnsi"/>
          <w:lang w:val="pl-PL"/>
        </w:rPr>
        <w:t xml:space="preserve"> ich działania?</w:t>
      </w:r>
    </w:p>
    <w:p w:rsidR="00F83484" w:rsidRPr="00F730BC" w:rsidRDefault="00F83484" w:rsidP="00F83484">
      <w:pPr>
        <w:pStyle w:val="Akapitzlist"/>
        <w:numPr>
          <w:ilvl w:val="0"/>
          <w:numId w:val="2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Jaka jest przyszłość tzw. „publicznych funduszy” w kontekście osłabienia wspólnoty europejskiej?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12:45-13:45 – lunch</w:t>
      </w:r>
      <w:r>
        <w:rPr>
          <w:rFonts w:asciiTheme="majorHAnsi" w:hAnsiTheme="majorHAnsi"/>
          <w:lang w:val="pl-PL"/>
        </w:rPr>
        <w:t>.</w:t>
      </w:r>
      <w:r w:rsidRPr="00F730BC">
        <w:rPr>
          <w:rFonts w:asciiTheme="majorHAnsi" w:hAnsiTheme="majorHAnsi"/>
          <w:lang w:val="pl-PL"/>
        </w:rPr>
        <w:t xml:space="preserve"> 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u w:val="single"/>
          <w:lang w:val="pl-PL"/>
        </w:rPr>
      </w:pPr>
      <w:r w:rsidRPr="00F730BC">
        <w:rPr>
          <w:rFonts w:asciiTheme="majorHAnsi" w:hAnsiTheme="majorHAnsi"/>
          <w:lang w:val="pl-PL"/>
        </w:rPr>
        <w:t xml:space="preserve">13:45-14:45 – </w:t>
      </w:r>
      <w:r w:rsidRPr="00F730BC">
        <w:rPr>
          <w:rFonts w:asciiTheme="majorHAnsi" w:hAnsiTheme="majorHAnsi"/>
          <w:u w:val="single"/>
          <w:lang w:val="pl-PL"/>
        </w:rPr>
        <w:t xml:space="preserve">„Listek figowy”, czy DNA firmy: realne korzyści biznesowe z CSR i CCI </w:t>
      </w:r>
      <w:r>
        <w:rPr>
          <w:rFonts w:asciiTheme="majorHAnsi" w:hAnsiTheme="majorHAnsi"/>
          <w:u w:val="single"/>
          <w:lang w:val="pl-PL"/>
        </w:rPr>
        <w:t>w kontekście</w:t>
      </w:r>
      <w:r w:rsidRPr="00F730BC">
        <w:rPr>
          <w:rFonts w:asciiTheme="majorHAnsi" w:hAnsiTheme="majorHAnsi"/>
          <w:u w:val="single"/>
          <w:lang w:val="pl-PL"/>
        </w:rPr>
        <w:t xml:space="preserve"> reputacji</w:t>
      </w:r>
    </w:p>
    <w:p w:rsidR="00F83484" w:rsidRPr="00F730BC" w:rsidRDefault="00F83484" w:rsidP="00F83484">
      <w:pPr>
        <w:pStyle w:val="Akapitzlist"/>
        <w:numPr>
          <w:ilvl w:val="0"/>
          <w:numId w:val="3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Jakich korzy</w:t>
      </w:r>
      <w:r>
        <w:rPr>
          <w:rFonts w:asciiTheme="majorHAnsi" w:hAnsiTheme="majorHAnsi"/>
          <w:lang w:val="pl-PL"/>
        </w:rPr>
        <w:t xml:space="preserve">ści z tej działalności mamy </w:t>
      </w:r>
      <w:r w:rsidRPr="00F730BC">
        <w:rPr>
          <w:rFonts w:asciiTheme="majorHAnsi" w:hAnsiTheme="majorHAnsi"/>
          <w:lang w:val="pl-PL"/>
        </w:rPr>
        <w:t xml:space="preserve">prawo </w:t>
      </w:r>
      <w:r>
        <w:rPr>
          <w:rFonts w:asciiTheme="majorHAnsi" w:hAnsiTheme="majorHAnsi"/>
          <w:lang w:val="pl-PL"/>
        </w:rPr>
        <w:t xml:space="preserve">już </w:t>
      </w:r>
      <w:r w:rsidRPr="00F730BC">
        <w:rPr>
          <w:rFonts w:asciiTheme="majorHAnsi" w:hAnsiTheme="majorHAnsi"/>
          <w:lang w:val="pl-PL"/>
        </w:rPr>
        <w:t>się nie wstydzić?</w:t>
      </w:r>
    </w:p>
    <w:p w:rsidR="00F83484" w:rsidRPr="00F730BC" w:rsidRDefault="00F83484" w:rsidP="00F83484">
      <w:pPr>
        <w:pStyle w:val="Akapitzlist"/>
        <w:numPr>
          <w:ilvl w:val="0"/>
          <w:numId w:val="3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Czy możemy otwarcie mówić o zysku ekonomicznym z aktywności społecznej?</w:t>
      </w:r>
    </w:p>
    <w:p w:rsidR="00F83484" w:rsidRPr="00F730BC" w:rsidRDefault="00F83484" w:rsidP="00F83484">
      <w:pPr>
        <w:pStyle w:val="Akapitzlist"/>
        <w:numPr>
          <w:ilvl w:val="0"/>
          <w:numId w:val="3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 xml:space="preserve">Dialog z otoczeniem: powinność, czy przezorność? </w:t>
      </w:r>
    </w:p>
    <w:p w:rsidR="00F83484" w:rsidRPr="00F730BC" w:rsidRDefault="00F83484" w:rsidP="00F83484">
      <w:pPr>
        <w:pStyle w:val="Akapitzlist"/>
        <w:numPr>
          <w:ilvl w:val="0"/>
          <w:numId w:val="3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Rola społeczna firmy: budować ją samemu, czy „rękami” organizacji pozarządowej?</w:t>
      </w:r>
    </w:p>
    <w:p w:rsidR="00F83484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14:45-15:00 – przerwa kawowa</w:t>
      </w:r>
      <w:r>
        <w:rPr>
          <w:rFonts w:asciiTheme="majorHAnsi" w:hAnsiTheme="majorHAnsi"/>
          <w:lang w:val="pl-PL"/>
        </w:rPr>
        <w:t>.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A4279E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A4279E">
        <w:rPr>
          <w:rFonts w:asciiTheme="majorHAnsi" w:hAnsiTheme="majorHAnsi"/>
          <w:lang w:val="pl-PL"/>
        </w:rPr>
        <w:t xml:space="preserve">15:00-16:00 – </w:t>
      </w:r>
      <w:r w:rsidRPr="00A4279E">
        <w:rPr>
          <w:rFonts w:asciiTheme="majorHAnsi" w:hAnsiTheme="majorHAnsi"/>
          <w:u w:val="single"/>
          <w:lang w:val="pl-PL"/>
        </w:rPr>
        <w:t>Misja czy sensacja: jak współpracować z mediami, by nawzajem budować swą wiarygodność?</w:t>
      </w:r>
      <w:r w:rsidRPr="00A4279E">
        <w:rPr>
          <w:rFonts w:asciiTheme="majorHAnsi" w:hAnsiTheme="majorHAnsi"/>
          <w:lang w:val="pl-PL"/>
        </w:rPr>
        <w:t xml:space="preserve"> </w:t>
      </w:r>
    </w:p>
    <w:p w:rsidR="00F83484" w:rsidRPr="00A4279E" w:rsidRDefault="00F83484" w:rsidP="00F83484">
      <w:pPr>
        <w:pStyle w:val="Akapitzlist"/>
        <w:numPr>
          <w:ilvl w:val="0"/>
          <w:numId w:val="4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A4279E">
        <w:rPr>
          <w:rFonts w:asciiTheme="majorHAnsi" w:hAnsiTheme="majorHAnsi"/>
          <w:lang w:val="pl-PL"/>
        </w:rPr>
        <w:t>Czy organizacje społeczne są do czegoś potrzebne mediom?</w:t>
      </w:r>
    </w:p>
    <w:p w:rsidR="00F83484" w:rsidRPr="00A4279E" w:rsidRDefault="00F83484" w:rsidP="00F83484">
      <w:pPr>
        <w:pStyle w:val="Akapitzlist"/>
        <w:numPr>
          <w:ilvl w:val="0"/>
          <w:numId w:val="4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A4279E">
        <w:rPr>
          <w:rFonts w:asciiTheme="majorHAnsi" w:hAnsiTheme="majorHAnsi"/>
          <w:lang w:val="pl-PL"/>
        </w:rPr>
        <w:t>Czy CSR i CCI komercyjnych podmiotów jest w stanie porwać media?</w:t>
      </w:r>
    </w:p>
    <w:p w:rsidR="00F83484" w:rsidRPr="00A4279E" w:rsidRDefault="00F83484" w:rsidP="00F83484">
      <w:pPr>
        <w:pStyle w:val="Akapitzlist"/>
        <w:numPr>
          <w:ilvl w:val="0"/>
          <w:numId w:val="4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A4279E">
        <w:rPr>
          <w:rFonts w:asciiTheme="majorHAnsi" w:hAnsiTheme="majorHAnsi"/>
          <w:lang w:val="pl-PL"/>
        </w:rPr>
        <w:t>Władza lokalna w mediach: gdzie zaczyna się zwykła kampania?</w:t>
      </w:r>
    </w:p>
    <w:p w:rsidR="00F83484" w:rsidRPr="00A4279E" w:rsidRDefault="00F83484" w:rsidP="00F83484">
      <w:pPr>
        <w:pStyle w:val="Akapitzlist"/>
        <w:numPr>
          <w:ilvl w:val="0"/>
          <w:numId w:val="4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A4279E">
        <w:rPr>
          <w:rFonts w:asciiTheme="majorHAnsi" w:hAnsiTheme="majorHAnsi"/>
          <w:lang w:val="pl-PL"/>
        </w:rPr>
        <w:t>Jak myśleć mediami i nie pogubić się w swoich wartościach?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16:00-16:15 – przerwa kawowa</w:t>
      </w:r>
      <w:r>
        <w:rPr>
          <w:rFonts w:asciiTheme="majorHAnsi" w:hAnsiTheme="majorHAnsi"/>
          <w:lang w:val="pl-PL"/>
        </w:rPr>
        <w:t>.</w:t>
      </w: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lang w:val="pl-PL"/>
        </w:rPr>
      </w:pPr>
    </w:p>
    <w:p w:rsidR="00F83484" w:rsidRPr="00F730BC" w:rsidRDefault="00F83484" w:rsidP="00F83484">
      <w:pPr>
        <w:tabs>
          <w:tab w:val="left" w:pos="7572"/>
        </w:tabs>
        <w:jc w:val="both"/>
        <w:rPr>
          <w:rFonts w:asciiTheme="majorHAnsi" w:hAnsiTheme="majorHAnsi"/>
          <w:u w:val="single"/>
          <w:lang w:val="pl-PL"/>
        </w:rPr>
      </w:pPr>
      <w:r w:rsidRPr="00F730BC">
        <w:rPr>
          <w:rFonts w:asciiTheme="majorHAnsi" w:hAnsiTheme="majorHAnsi"/>
          <w:lang w:val="pl-PL"/>
        </w:rPr>
        <w:t xml:space="preserve">16:15-17:15 – </w:t>
      </w:r>
      <w:r w:rsidRPr="00F730BC">
        <w:rPr>
          <w:rFonts w:asciiTheme="majorHAnsi" w:hAnsiTheme="majorHAnsi"/>
          <w:u w:val="single"/>
          <w:lang w:val="pl-PL"/>
        </w:rPr>
        <w:t>Społeczni podwykonawcy: szansa na prawdziwy łańcuch zaufania publicznego?</w:t>
      </w:r>
    </w:p>
    <w:p w:rsidR="00F83484" w:rsidRPr="00F730BC" w:rsidRDefault="00F83484" w:rsidP="00F83484">
      <w:pPr>
        <w:pStyle w:val="Akapitzlist"/>
        <w:numPr>
          <w:ilvl w:val="0"/>
          <w:numId w:val="5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Jak z korzyścią dla wszystkich przeprowadzić proces dewolucji władzy?</w:t>
      </w:r>
    </w:p>
    <w:p w:rsidR="00F83484" w:rsidRPr="00F730BC" w:rsidRDefault="00F83484" w:rsidP="00F83484">
      <w:pPr>
        <w:pStyle w:val="Akapitzlist"/>
        <w:numPr>
          <w:ilvl w:val="0"/>
          <w:numId w:val="5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Reprezentant społeczności, czy specjalista od dialogu ze społecznością: jak ugruntować pozycję organizacji pozarządowej w gminie?</w:t>
      </w:r>
    </w:p>
    <w:p w:rsidR="00F83484" w:rsidRPr="00F730BC" w:rsidRDefault="00F83484" w:rsidP="00F83484">
      <w:pPr>
        <w:pStyle w:val="Akapitzlist"/>
        <w:numPr>
          <w:ilvl w:val="0"/>
          <w:numId w:val="5"/>
        </w:numPr>
        <w:tabs>
          <w:tab w:val="left" w:pos="7572"/>
        </w:tabs>
        <w:jc w:val="both"/>
        <w:rPr>
          <w:rFonts w:asciiTheme="majorHAnsi" w:hAnsiTheme="majorHAnsi"/>
          <w:lang w:val="pl-PL"/>
        </w:rPr>
      </w:pPr>
      <w:r w:rsidRPr="00F730BC">
        <w:rPr>
          <w:rFonts w:asciiTheme="majorHAnsi" w:hAnsiTheme="majorHAnsi"/>
          <w:lang w:val="pl-PL"/>
        </w:rPr>
        <w:t>Jak budować lokalne koalicje Trzech Sektorów?</w:t>
      </w:r>
    </w:p>
    <w:p w:rsidR="0043445E" w:rsidRPr="00F83484" w:rsidRDefault="00F83484" w:rsidP="003465C1">
      <w:pPr>
        <w:pStyle w:val="Akapitzlist"/>
        <w:numPr>
          <w:ilvl w:val="0"/>
          <w:numId w:val="5"/>
        </w:numPr>
        <w:tabs>
          <w:tab w:val="left" w:pos="7572"/>
        </w:tabs>
        <w:jc w:val="both"/>
      </w:pPr>
      <w:r w:rsidRPr="00F730BC">
        <w:rPr>
          <w:rFonts w:asciiTheme="majorHAnsi" w:hAnsiTheme="majorHAnsi"/>
          <w:lang w:val="pl-PL"/>
        </w:rPr>
        <w:lastRenderedPageBreak/>
        <w:t xml:space="preserve">Jak zbliżając się do ratusza nie oddalić się od ulicy? </w:t>
      </w:r>
    </w:p>
    <w:sectPr w:rsidR="0043445E" w:rsidRPr="00F83484" w:rsidSect="004F2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134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46" w:rsidRDefault="00E67646" w:rsidP="0032567C">
      <w:r>
        <w:separator/>
      </w:r>
    </w:p>
  </w:endnote>
  <w:endnote w:type="continuationSeparator" w:id="0">
    <w:p w:rsidR="00E67646" w:rsidRDefault="00E67646" w:rsidP="0032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F8" w:rsidRDefault="008801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7C" w:rsidRDefault="0032567C" w:rsidP="0032567C">
    <w:pPr>
      <w:pStyle w:val="Stopka"/>
      <w:jc w:val="center"/>
    </w:pPr>
    <w:r>
      <w:rPr>
        <w:noProof/>
        <w:lang w:val="pl-PL" w:eastAsia="pl-PL"/>
      </w:rPr>
      <w:drawing>
        <wp:inline distT="0" distB="0" distL="0" distR="0">
          <wp:extent cx="1781175" cy="350659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ngresRegionow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311" cy="356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F8" w:rsidRDefault="008801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46" w:rsidRDefault="00E67646" w:rsidP="0032567C">
      <w:r>
        <w:separator/>
      </w:r>
    </w:p>
  </w:footnote>
  <w:footnote w:type="continuationSeparator" w:id="0">
    <w:p w:rsidR="00E67646" w:rsidRDefault="00E67646" w:rsidP="0032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F8" w:rsidRDefault="008801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7C" w:rsidRDefault="0032567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-230505</wp:posOffset>
          </wp:positionV>
          <wp:extent cx="1646344" cy="704850"/>
          <wp:effectExtent l="0" t="0" r="0" b="0"/>
          <wp:wrapThrough wrapText="bothSides">
            <wp:wrapPolygon edited="0">
              <wp:start x="1250" y="0"/>
              <wp:lineTo x="0" y="2919"/>
              <wp:lineTo x="0" y="21016"/>
              <wp:lineTo x="21250" y="21016"/>
              <wp:lineTo x="21250" y="1168"/>
              <wp:lineTo x="20250" y="0"/>
              <wp:lineTo x="125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3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344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F8" w:rsidRDefault="008801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5BD"/>
    <w:multiLevelType w:val="hybridMultilevel"/>
    <w:tmpl w:val="B574D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B4AAA"/>
    <w:multiLevelType w:val="hybridMultilevel"/>
    <w:tmpl w:val="3E8E17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4B1F83"/>
    <w:multiLevelType w:val="hybridMultilevel"/>
    <w:tmpl w:val="4A864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2C87"/>
    <w:multiLevelType w:val="hybridMultilevel"/>
    <w:tmpl w:val="F68AA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F5BFC"/>
    <w:multiLevelType w:val="hybridMultilevel"/>
    <w:tmpl w:val="3B606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9B"/>
    <w:rsid w:val="000E074A"/>
    <w:rsid w:val="001061DD"/>
    <w:rsid w:val="00136157"/>
    <w:rsid w:val="00224F37"/>
    <w:rsid w:val="0029183A"/>
    <w:rsid w:val="002A365B"/>
    <w:rsid w:val="002D7F3D"/>
    <w:rsid w:val="002E61AD"/>
    <w:rsid w:val="0032567C"/>
    <w:rsid w:val="003329CD"/>
    <w:rsid w:val="003465C1"/>
    <w:rsid w:val="0043445E"/>
    <w:rsid w:val="004A7211"/>
    <w:rsid w:val="004F270A"/>
    <w:rsid w:val="004F2D28"/>
    <w:rsid w:val="00563C52"/>
    <w:rsid w:val="00696E25"/>
    <w:rsid w:val="007559BF"/>
    <w:rsid w:val="00772FCD"/>
    <w:rsid w:val="00776B23"/>
    <w:rsid w:val="007B3C6D"/>
    <w:rsid w:val="0086739A"/>
    <w:rsid w:val="008800BF"/>
    <w:rsid w:val="008801F8"/>
    <w:rsid w:val="009568B3"/>
    <w:rsid w:val="009640E4"/>
    <w:rsid w:val="009A1F9D"/>
    <w:rsid w:val="009B09B6"/>
    <w:rsid w:val="00A346DB"/>
    <w:rsid w:val="00AF5F74"/>
    <w:rsid w:val="00B6329B"/>
    <w:rsid w:val="00B6413B"/>
    <w:rsid w:val="00C443D9"/>
    <w:rsid w:val="00CD7B18"/>
    <w:rsid w:val="00D256B5"/>
    <w:rsid w:val="00E67646"/>
    <w:rsid w:val="00EA6C68"/>
    <w:rsid w:val="00ED5E63"/>
    <w:rsid w:val="00F14C68"/>
    <w:rsid w:val="00F83484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48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67C"/>
  </w:style>
  <w:style w:type="paragraph" w:styleId="Stopka">
    <w:name w:val="footer"/>
    <w:basedOn w:val="Normalny"/>
    <w:link w:val="StopkaZnak"/>
    <w:uiPriority w:val="99"/>
    <w:unhideWhenUsed/>
    <w:rsid w:val="00325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67C"/>
  </w:style>
  <w:style w:type="paragraph" w:styleId="Tekstdymka">
    <w:name w:val="Balloon Text"/>
    <w:basedOn w:val="Normalny"/>
    <w:link w:val="TekstdymkaZnak"/>
    <w:uiPriority w:val="99"/>
    <w:semiHidden/>
    <w:unhideWhenUsed/>
    <w:rsid w:val="003256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67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27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48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67C"/>
  </w:style>
  <w:style w:type="paragraph" w:styleId="Stopka">
    <w:name w:val="footer"/>
    <w:basedOn w:val="Normalny"/>
    <w:link w:val="StopkaZnak"/>
    <w:uiPriority w:val="99"/>
    <w:unhideWhenUsed/>
    <w:rsid w:val="00325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67C"/>
  </w:style>
  <w:style w:type="paragraph" w:styleId="Tekstdymka">
    <w:name w:val="Balloon Text"/>
    <w:basedOn w:val="Normalny"/>
    <w:link w:val="TekstdymkaZnak"/>
    <w:uiPriority w:val="99"/>
    <w:semiHidden/>
    <w:unhideWhenUsed/>
    <w:rsid w:val="003256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67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27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2016-08-04T08:52:00Z</dcterms:created>
  <dcterms:modified xsi:type="dcterms:W3CDTF">2016-08-04T08:52:00Z</dcterms:modified>
</cp:coreProperties>
</file>